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5A2" w:rsidRDefault="00EC75A2" w:rsidP="00EC75A2">
      <w:pPr>
        <w:spacing w:before="100" w:beforeAutospacing="1" w:after="100" w:afterAutospacing="1" w:line="240" w:lineRule="auto"/>
        <w:ind w:left="720"/>
        <w:jc w:val="center"/>
        <w:rPr>
          <w:b/>
          <w:bCs/>
          <w:sz w:val="27"/>
          <w:szCs w:val="27"/>
        </w:rPr>
      </w:pPr>
    </w:p>
    <w:p w:rsidR="00A95045" w:rsidRDefault="00A95045" w:rsidP="00A950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045" w:rsidRDefault="00A95045" w:rsidP="00A950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045" w:rsidRDefault="00A95045" w:rsidP="00A950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045" w:rsidRDefault="00A95045" w:rsidP="00A950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045" w:rsidRDefault="00A95045" w:rsidP="00A950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95045" w:rsidRDefault="00A95045" w:rsidP="00A95045">
      <w:pPr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75A2" w:rsidRPr="009F43EC" w:rsidRDefault="001439CF" w:rsidP="00EC75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Статья</w:t>
      </w:r>
      <w:r w:rsidR="00EC75A2" w:rsidRPr="005B22B2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C75A2" w:rsidRPr="009F43EC">
        <w:rPr>
          <w:rFonts w:ascii="Times New Roman" w:hAnsi="Times New Roman" w:cs="Times New Roman"/>
          <w:sz w:val="28"/>
          <w:szCs w:val="28"/>
          <w:lang w:eastAsia="ru-RU"/>
        </w:rPr>
        <w:t>«Развитие одаренности учащихся</w:t>
      </w:r>
    </w:p>
    <w:p w:rsidR="00EC75A2" w:rsidRPr="009F43EC" w:rsidRDefault="00EC75A2" w:rsidP="00EC75A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F43EC">
        <w:rPr>
          <w:rFonts w:ascii="Times New Roman" w:hAnsi="Times New Roman" w:cs="Times New Roman"/>
          <w:sz w:val="28"/>
          <w:szCs w:val="28"/>
          <w:lang w:eastAsia="ru-RU"/>
        </w:rPr>
        <w:t>средствами внеклассной работы в школе»</w:t>
      </w:r>
    </w:p>
    <w:p w:rsidR="00EC75A2" w:rsidRPr="005B22B2" w:rsidRDefault="00EC75A2" w:rsidP="00EC75A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EC75A2" w:rsidRDefault="00EC75A2" w:rsidP="00EC75A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5A2" w:rsidRDefault="00EC75A2" w:rsidP="00EC75A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5A2" w:rsidRDefault="00EC75A2" w:rsidP="00EC75A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75A2" w:rsidRPr="00C810C3" w:rsidRDefault="00EC75A2" w:rsidP="00EC75A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810C3">
        <w:rPr>
          <w:rFonts w:ascii="Times New Roman" w:hAnsi="Times New Roman" w:cs="Times New Roman"/>
          <w:sz w:val="24"/>
          <w:szCs w:val="24"/>
        </w:rPr>
        <w:t>Белкова</w:t>
      </w:r>
      <w:proofErr w:type="spellEnd"/>
      <w:r w:rsidRPr="00C810C3">
        <w:rPr>
          <w:rFonts w:ascii="Times New Roman" w:hAnsi="Times New Roman" w:cs="Times New Roman"/>
          <w:sz w:val="24"/>
          <w:szCs w:val="24"/>
        </w:rPr>
        <w:t xml:space="preserve"> Елена Александровна,</w:t>
      </w:r>
    </w:p>
    <w:p w:rsidR="00EC75A2" w:rsidRPr="00C810C3" w:rsidRDefault="00EC75A2" w:rsidP="00EC7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810C3">
        <w:rPr>
          <w:rFonts w:ascii="Times New Roman" w:hAnsi="Times New Roman" w:cs="Times New Roman"/>
          <w:sz w:val="24"/>
          <w:szCs w:val="24"/>
        </w:rPr>
        <w:t xml:space="preserve">   учитель изобразительного искусства</w:t>
      </w:r>
    </w:p>
    <w:p w:rsidR="00EC75A2" w:rsidRPr="00C810C3" w:rsidRDefault="00EC75A2" w:rsidP="00EC7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810C3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</w:t>
      </w:r>
    </w:p>
    <w:p w:rsidR="00EC75A2" w:rsidRPr="00C810C3" w:rsidRDefault="00EC75A2" w:rsidP="00EC7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810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10C3">
        <w:rPr>
          <w:rFonts w:ascii="Times New Roman" w:hAnsi="Times New Roman" w:cs="Times New Roman"/>
          <w:sz w:val="24"/>
          <w:szCs w:val="24"/>
        </w:rPr>
        <w:t xml:space="preserve"> школа №1» город Зима, Иркутская область</w:t>
      </w:r>
    </w:p>
    <w:p w:rsidR="00EC75A2" w:rsidRPr="00C810C3" w:rsidRDefault="00EC75A2" w:rsidP="00EC75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C75A2" w:rsidRPr="00C810C3" w:rsidRDefault="00EC75A2" w:rsidP="00EC75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C75A2" w:rsidRDefault="00EC75A2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5A2" w:rsidRDefault="00EC75A2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5A2" w:rsidRDefault="00EC75A2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5A2" w:rsidRDefault="00EC75A2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5A2" w:rsidRDefault="00EC75A2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5A2" w:rsidRDefault="00EC75A2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72B9F" w:rsidRDefault="00D72B9F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3531" w:rsidRDefault="004E3531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E3531" w:rsidRDefault="004E3531" w:rsidP="00EC75A2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54B2" w:rsidRDefault="00BD2A3C" w:rsidP="001B1F3B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Зима, 2016</w:t>
      </w:r>
    </w:p>
    <w:p w:rsidR="00D05830" w:rsidRPr="001B1F3B" w:rsidRDefault="00D05830" w:rsidP="001B1F3B">
      <w:pPr>
        <w:tabs>
          <w:tab w:val="left" w:pos="405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C75A2" w:rsidRPr="00EC75A2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C75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Pr="00EC7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EC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Творчество детей - это глубоко своеобразная  сфера</w:t>
      </w:r>
    </w:p>
    <w:p w:rsidR="00EC75A2" w:rsidRPr="00EC75A2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C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их духовной жизни  самовыражение, самоутверждение,</w:t>
      </w:r>
    </w:p>
    <w:p w:rsidR="00EC75A2" w:rsidRPr="00EC75A2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C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в  котором ярко раскрывается  индивидуальная </w:t>
      </w:r>
    </w:p>
    <w:p w:rsidR="00EC75A2" w:rsidRPr="00EC75A2" w:rsidRDefault="00EC75A2" w:rsidP="00EC75A2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EC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                                                     самобытность  каждого ребенка»</w:t>
      </w:r>
      <w:r w:rsidRPr="00EC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br/>
      </w:r>
      <w:r w:rsidRPr="00EC7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Pr="00EC75A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В. А. Сухомлинский</w:t>
      </w:r>
      <w:r w:rsidR="001B1F3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В наше время изобразительное творчество детей вызывает живой интерес у людей разных профессий и возрастов. Создаются музеи, где детские работы хранятся как большая художественная ценность. Рисункам посвящаются книги, статьи, научные исследования, кинофильмы и телепередачи.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Мир творчества – это та среда, в которой человек живет и действует повседневно. Этот мир не только существенно влияет на становление и развитие личности, способствует адекватной адаптации человека в технологической среде, сохранению и творческому ее преобразованию, но и содержит потенциал разностороннего формирования человека, обладающего системой ценностных ориентаций.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У каждого ребенка есть способности и таланты. Дети от природы любознательны и полны желания учиться. Все, что нужно для того, чтобы они могли проявить свои дарования – это  умное руководство со стороны взрослых.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Одаренный ребенок – это  достояние страны, поэтому считаю абсолютно неважно в какой школе он учиться, главное то, кто ему будет оказывать поддержку. Сама жизнь подсказывает нам, что необходимо больше уделять внимания выявлению одарённых детей и работе с ними. Конечно, существуют различные мнения по поводу того, кого считать одарённым. </w:t>
      </w:r>
    </w:p>
    <w:p w:rsidR="00EC75A2" w:rsidRPr="00A95045" w:rsidRDefault="00EC75A2" w:rsidP="00C421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Думаю, что каждый ребёнок может быть способным, а </w:t>
      </w:r>
      <w:proofErr w:type="gramStart"/>
      <w:r w:rsidRPr="00A95045">
        <w:rPr>
          <w:rFonts w:ascii="Times New Roman" w:eastAsia="Calibri" w:hAnsi="Times New Roman" w:cs="Times New Roman"/>
          <w:sz w:val="24"/>
          <w:szCs w:val="24"/>
        </w:rPr>
        <w:t>в последствии</w:t>
      </w:r>
      <w:proofErr w:type="gram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и одарённым в какой-то области. Наша задача определить интерес ребёнка и направить его в нужное русло.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Современному ученику недостаточно получить определенную сумму знаний, умений и навыков. Время требует от него умения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самореализовываться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саморазвиваться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>, максимально использовать свои потенциальные возможности, мыслить творчески, выходя за рамки одного предмета.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Работа с одарёнными детьми – это чаще всего внеклассная работа. Урок, даже самый удачный, имеет один недостаток: он спрессован во времени и не допускает отвлечений, даже когда группа (класс) остро интересуется каким-либо вопросом. Другое дело – внеклассные занятия, в которых учитель не связан жёсткими временными и плановыми рамками.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Внеучебная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изобразительная деятельность должна строиться с учетом передачи   опыта  творческой   деятельности,   нравственно-эстетического   и профессионального опыта учителя и  должна служить средством развития личности ребёнка. Будучи органически связанной с учебной деятельностью, внеклассная работа в отличие от неё строится по принципу добровольности, а её содержание должно отвечать личным интересам школьников.</w:t>
      </w:r>
    </w:p>
    <w:p w:rsidR="00EC75A2" w:rsidRPr="00A95045" w:rsidRDefault="00EC75A2" w:rsidP="00EC75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Считаю, что именно у учителя изобразительного искусства и черчения есть широкие возможности в формирован</w:t>
      </w:r>
      <w:proofErr w:type="gramStart"/>
      <w:r w:rsidRPr="00A95045">
        <w:rPr>
          <w:rFonts w:ascii="Times New Roman" w:eastAsia="Calibri" w:hAnsi="Times New Roman" w:cs="Times New Roman"/>
          <w:sz w:val="24"/>
          <w:szCs w:val="24"/>
        </w:rPr>
        <w:t>ии у у</w:t>
      </w:r>
      <w:proofErr w:type="gram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чащихся интереса к изобразительной и рационализаторской деятельности, научно-техническому творчеству. Именно работа </w:t>
      </w:r>
    </w:p>
    <w:p w:rsidR="00EC75A2" w:rsidRPr="00A95045" w:rsidRDefault="00EC75A2" w:rsidP="00EC7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с одарёнными детьми успешно культивирует у них те качества, без которых творческая личность может не состояться.</w:t>
      </w:r>
      <w:r w:rsidR="00A238BE" w:rsidRPr="00A23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38BE" w:rsidRPr="00A95045">
        <w:rPr>
          <w:rFonts w:ascii="Times New Roman" w:eastAsia="Calibri" w:hAnsi="Times New Roman" w:cs="Times New Roman"/>
          <w:sz w:val="24"/>
          <w:szCs w:val="24"/>
        </w:rPr>
        <w:t xml:space="preserve">Очень важно работы одаренных детей показывать другим, от своей творческой работы учащиеся должны получить  удовлетворение. </w:t>
      </w:r>
    </w:p>
    <w:p w:rsidR="00D56018" w:rsidRPr="00A95045" w:rsidRDefault="00D56018" w:rsidP="00D560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Внеклассная  работа по изобразительному искусству проводится каждый год – это  наши школьные выставки, конкурсы рисунков, плакатов и стенгазет: </w:t>
      </w:r>
      <w:proofErr w:type="gramStart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«Рисование – способ познания мира»; «С днём Учителя!»;  Конкурс новогодних рисунков, открыток и стенгазет «С Новым годом!»; «Гордимся мы очарованием красавиц русских и славим мужество </w:t>
      </w:r>
      <w:r w:rsidRPr="00A95045">
        <w:rPr>
          <w:rFonts w:ascii="Times New Roman" w:eastAsia="Calibri" w:hAnsi="Times New Roman" w:cs="Times New Roman"/>
          <w:sz w:val="24"/>
          <w:szCs w:val="24"/>
        </w:rPr>
        <w:lastRenderedPageBreak/>
        <w:t>богатырей»; «Ничего на свете нет милей улыбки мамочки моей»; «1 апреля – день юмора и смеха»; «В глубинах Вселенной»; «Мы – за  здоровый образ жизни!»; «Все  профессии нужны, все профессии важны»;</w:t>
      </w:r>
      <w:proofErr w:type="gram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«Никто не забыт, ничто не забыто»; «Нам нужен мир!».</w:t>
      </w:r>
    </w:p>
    <w:p w:rsidR="00D56018" w:rsidRPr="00A95045" w:rsidRDefault="00D56018" w:rsidP="00D560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Любая выставка в школе вызывает живой интерес не только у ребят-авторов, но и </w:t>
      </w:r>
    </w:p>
    <w:p w:rsidR="00D56018" w:rsidRPr="00A95045" w:rsidRDefault="00D56018" w:rsidP="00D560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у остальных зрителей: одноклассников, учащихся других классов, учителей, родителей и гостей школы.</w:t>
      </w:r>
    </w:p>
    <w:p w:rsidR="00D56018" w:rsidRPr="00A95045" w:rsidRDefault="00EC75A2" w:rsidP="00A238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Проектная деятельность помогает творчески развиваться ребенку и не надо откладывать занятия проектом до старших классов, лучше начать эту работу как можно раньше, ориентируясь на возрастные особенности учеников.</w:t>
      </w:r>
      <w:r w:rsidRPr="00A95045">
        <w:rPr>
          <w:rFonts w:ascii="Times New Roman" w:eastAsia="Calibri" w:hAnsi="Times New Roman" w:cs="Times New Roman"/>
          <w:sz w:val="24"/>
          <w:szCs w:val="24"/>
        </w:rPr>
        <w:tab/>
        <w:t>Во всех проектах, связанных с художественным оформлением интерьеров детских учреждений, главным является совместное творчество.</w:t>
      </w:r>
      <w:r w:rsidR="00A23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Например, наш проект – панно «Победа», посвященный 65-летию Великой Победы. Это панно выполнено с открытки художника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Л.Непомнящих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>. Под моим руководством группа из 8 девочек в течени</w:t>
      </w:r>
      <w:proofErr w:type="gramStart"/>
      <w:r w:rsidRPr="00A9504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 трех недель после уроков с творческим энтузиазмом рисовали это панно. Участники проекта стали  девочки: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Щвец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Ирина 9а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Сафонова Анна 9а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Попова Вера 9а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Городникова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Лариса 9б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Бояринцева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 Алёна 8а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Жудик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Зоя 8а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Завьялова  Полина 8а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Шамай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Анна 8а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7D6C" w:rsidRPr="00A238BE" w:rsidRDefault="00EC75A2" w:rsidP="001B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Панно «Победа» вызвало большой  интерес и удивление  учащихся, учителей и гостей школы на выставке рисунков «Никто не забыт</w:t>
      </w:r>
      <w:r w:rsidR="001B1F3B">
        <w:rPr>
          <w:rFonts w:ascii="Times New Roman" w:eastAsia="Calibri" w:hAnsi="Times New Roman" w:cs="Times New Roman"/>
          <w:sz w:val="24"/>
          <w:szCs w:val="24"/>
        </w:rPr>
        <w:t>, ничто не забыто».</w:t>
      </w:r>
      <w:r w:rsidR="00A238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045">
        <w:rPr>
          <w:rFonts w:ascii="Times New Roman" w:eastAsia="+mj-ea" w:hAnsi="Times New Roman" w:cs="Times New Roman"/>
          <w:bCs/>
          <w:sz w:val="24"/>
          <w:szCs w:val="24"/>
        </w:rPr>
        <w:t>Ещё один совместный проект оформления сцены</w:t>
      </w:r>
      <w:r w:rsidRPr="00A95045">
        <w:rPr>
          <w:rFonts w:ascii="Times New Roman" w:eastAsia="+mj-ea" w:hAnsi="Times New Roman" w:cs="Times New Roman"/>
          <w:sz w:val="24"/>
          <w:szCs w:val="24"/>
        </w:rPr>
        <w:t xml:space="preserve">  к смотру художественной самодеятельности (март 2012 г.) Участниками проекта стали взрослые и дети-ученики 7-8 классов. Главное, всем было интересно, в течение месяца совместная творческая деятельность по изготовлению домов и церкви сплотила и сдружила всех.</w:t>
      </w:r>
    </w:p>
    <w:p w:rsidR="00D56018" w:rsidRPr="001B1F3B" w:rsidRDefault="00EC75A2" w:rsidP="001B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5045">
        <w:rPr>
          <w:rFonts w:ascii="Times New Roman" w:eastAsia="Calibri" w:hAnsi="Times New Roman" w:cs="Times New Roman"/>
          <w:sz w:val="24"/>
          <w:szCs w:val="24"/>
        </w:rPr>
        <w:t>Участие наших учеников в  городских</w:t>
      </w:r>
      <w:r w:rsidR="001B1F3B">
        <w:rPr>
          <w:rFonts w:ascii="Times New Roman" w:eastAsia="Calibri" w:hAnsi="Times New Roman" w:cs="Times New Roman"/>
          <w:sz w:val="24"/>
          <w:szCs w:val="24"/>
        </w:rPr>
        <w:t xml:space="preserve"> и областных НПК</w:t>
      </w: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– это очень полезное, интересное творческое дело, на которое уходит немало свободного времени, терпения и сил.</w:t>
      </w:r>
      <w:proofErr w:type="gramEnd"/>
      <w:r w:rsidR="001B1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Например, работа Куклиной Анастасии 5а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A95045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Жостовский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поднос» заняла   </w:t>
      </w:r>
      <w:r w:rsidRPr="00A95045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место  в НПК в </w:t>
      </w:r>
      <w:smartTag w:uri="urn:schemas-microsoft-com:office:smarttags" w:element="metricconverter">
        <w:smartTagPr>
          <w:attr w:name="ProductID" w:val="2010 г"/>
        </w:smartTagPr>
        <w:r w:rsidRPr="00A95045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 Лунина Анна 6а </w:t>
      </w:r>
      <w:proofErr w:type="spellStart"/>
      <w:r w:rsidRPr="00A95045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 за работу «Городецкая роспись разделочной доски» получила диплом за участие   в НПК в </w:t>
      </w:r>
      <w:smartTag w:uri="urn:schemas-microsoft-com:office:smarttags" w:element="metricconverter">
        <w:smartTagPr>
          <w:attr w:name="ProductID" w:val="2011 г"/>
        </w:smartTagPr>
        <w:r w:rsidRPr="00A95045">
          <w:rPr>
            <w:rFonts w:ascii="Times New Roman" w:eastAsia="Calibri" w:hAnsi="Times New Roman" w:cs="Times New Roman"/>
            <w:sz w:val="24"/>
            <w:szCs w:val="24"/>
          </w:rPr>
          <w:t>2011 г</w:t>
        </w:r>
      </w:smartTag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. На </w:t>
      </w:r>
      <w:r w:rsidRPr="00A95045">
        <w:rPr>
          <w:rFonts w:ascii="Times New Roman" w:eastAsia="+mn-ea" w:hAnsi="Times New Roman" w:cs="Times New Roman"/>
          <w:kern w:val="24"/>
          <w:sz w:val="24"/>
          <w:szCs w:val="24"/>
          <w:lang w:val="en-US"/>
        </w:rPr>
        <w:t>VII</w:t>
      </w:r>
      <w:r w:rsidRPr="00A9504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НПК «За страницами учебника» г. Тулуне</w:t>
      </w:r>
      <w:r w:rsidRPr="00A95045">
        <w:rPr>
          <w:rFonts w:ascii="Times New Roman" w:eastAsia="Calibri" w:hAnsi="Times New Roman" w:cs="Times New Roman"/>
          <w:sz w:val="24"/>
          <w:szCs w:val="24"/>
        </w:rPr>
        <w:t xml:space="preserve"> в 2012 г. ученица </w:t>
      </w:r>
      <w:proofErr w:type="spellStart"/>
      <w:r w:rsidRPr="00A95045">
        <w:rPr>
          <w:rFonts w:ascii="Times New Roman" w:eastAsia="+mn-ea" w:hAnsi="Times New Roman" w:cs="Times New Roman"/>
          <w:kern w:val="24"/>
          <w:sz w:val="24"/>
          <w:szCs w:val="24"/>
        </w:rPr>
        <w:t>Валькова</w:t>
      </w:r>
      <w:proofErr w:type="spellEnd"/>
      <w:r w:rsidRPr="00A95045">
        <w:rPr>
          <w:rFonts w:ascii="Times New Roman" w:eastAsia="+mn-ea" w:hAnsi="Times New Roman" w:cs="Times New Roman"/>
          <w:kern w:val="24"/>
          <w:sz w:val="24"/>
          <w:szCs w:val="24"/>
        </w:rPr>
        <w:t xml:space="preserve"> Ульяна 8а </w:t>
      </w:r>
      <w:proofErr w:type="spellStart"/>
      <w:r w:rsidRPr="00A95045">
        <w:rPr>
          <w:rFonts w:ascii="Times New Roman" w:eastAsia="+mn-ea" w:hAnsi="Times New Roman" w:cs="Times New Roman"/>
          <w:kern w:val="24"/>
          <w:sz w:val="24"/>
          <w:szCs w:val="24"/>
        </w:rPr>
        <w:t>кл</w:t>
      </w:r>
      <w:proofErr w:type="spellEnd"/>
      <w:r w:rsidRPr="00A95045">
        <w:rPr>
          <w:rFonts w:ascii="Times New Roman" w:eastAsia="+mn-ea" w:hAnsi="Times New Roman" w:cs="Times New Roman"/>
          <w:kern w:val="24"/>
          <w:sz w:val="24"/>
          <w:szCs w:val="24"/>
        </w:rPr>
        <w:t>. за свою работу  «Декоративные вазы» получила  свидетельство участника.</w:t>
      </w:r>
      <w:proofErr w:type="gramEnd"/>
      <w:r w:rsidR="001B1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56018" w:rsidRPr="00A95045">
        <w:rPr>
          <w:rFonts w:ascii="Times New Roman" w:eastAsia="Times New Roman" w:hAnsi="Times New Roman" w:cs="Times New Roman"/>
          <w:bCs/>
          <w:sz w:val="24"/>
          <w:szCs w:val="24"/>
        </w:rPr>
        <w:t>Фидикова</w:t>
      </w:r>
      <w:proofErr w:type="spellEnd"/>
      <w:r w:rsidR="00D56018" w:rsidRPr="00A95045">
        <w:rPr>
          <w:rFonts w:ascii="Times New Roman" w:eastAsia="Times New Roman" w:hAnsi="Times New Roman" w:cs="Times New Roman"/>
          <w:bCs/>
          <w:sz w:val="24"/>
          <w:szCs w:val="24"/>
        </w:rPr>
        <w:t xml:space="preserve"> Екатерина – ученица 9а класса за проект </w:t>
      </w:r>
      <w:r w:rsidR="00D56018" w:rsidRPr="00A950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6018" w:rsidRPr="00A95045">
        <w:rPr>
          <w:rFonts w:ascii="Times New Roman" w:eastAsia="Times New Roman" w:hAnsi="Times New Roman" w:cs="Times New Roman"/>
          <w:bCs/>
          <w:sz w:val="24"/>
          <w:szCs w:val="24"/>
        </w:rPr>
        <w:t xml:space="preserve">Иллюстрации к сказкам А. С. Пушкина» награждена грамотой  за участие в </w:t>
      </w:r>
      <w:r w:rsidR="00D56018" w:rsidRPr="00A95045">
        <w:rPr>
          <w:rFonts w:ascii="Times New Roman" w:eastAsia="Times New Roman" w:hAnsi="Times New Roman" w:cs="Times New Roman"/>
          <w:sz w:val="24"/>
          <w:szCs w:val="24"/>
        </w:rPr>
        <w:t>городской НПК  2013 г. Эти сказочные иллюстрации украшают теперь вестибюль нашей школы.</w:t>
      </w:r>
    </w:p>
    <w:p w:rsidR="00F60B42" w:rsidRPr="001B1F3B" w:rsidRDefault="00EC75A2" w:rsidP="001B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t>Проявление творческой инициативы  способствует развитию у ребят художественно-творческой активности, приобретению опыта творческой деятельности,  самостоятельности, фантазии, воображения, образного мышления.</w:t>
      </w:r>
      <w:r w:rsidR="001B1F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B42" w:rsidRPr="00A95045">
        <w:rPr>
          <w:rFonts w:ascii="Times New Roman" w:hAnsi="Times New Roman" w:cs="Times New Roman"/>
          <w:sz w:val="24"/>
          <w:szCs w:val="24"/>
        </w:rPr>
        <w:t>Печать таланта педагога очень ярко отражается на детском творчестве</w:t>
      </w:r>
      <w:r w:rsidR="001B1F3B">
        <w:rPr>
          <w:rFonts w:ascii="Times New Roman" w:hAnsi="Times New Roman" w:cs="Times New Roman"/>
          <w:sz w:val="24"/>
          <w:szCs w:val="24"/>
        </w:rPr>
        <w:t>.</w:t>
      </w:r>
      <w:r w:rsidR="00F60B42" w:rsidRPr="00A950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5045" w:rsidRPr="00A238BE" w:rsidRDefault="00A95045" w:rsidP="00A238BE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238BE">
        <w:rPr>
          <w:rFonts w:ascii="Times New Roman" w:eastAsia="+mj-ea" w:hAnsi="Times New Roman" w:cs="Times New Roman"/>
          <w:bCs/>
          <w:sz w:val="24"/>
          <w:szCs w:val="24"/>
        </w:rPr>
        <w:t>Статистические  данные</w:t>
      </w:r>
      <w:r w:rsidRPr="00A238BE">
        <w:rPr>
          <w:rFonts w:ascii="Times New Roman" w:eastAsia="+mj-ea" w:hAnsi="Times New Roman" w:cs="Times New Roman"/>
          <w:bCs/>
          <w:sz w:val="24"/>
          <w:szCs w:val="24"/>
        </w:rPr>
        <w:br/>
        <w:t xml:space="preserve"> участия  учащихся школы в  конкурсах  детского  художественного творчества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1134"/>
        <w:gridCol w:w="993"/>
        <w:gridCol w:w="992"/>
        <w:gridCol w:w="992"/>
        <w:gridCol w:w="992"/>
        <w:gridCol w:w="958"/>
      </w:tblGrid>
      <w:tr w:rsidR="00A95045" w:rsidTr="00A238BE">
        <w:tc>
          <w:tcPr>
            <w:tcW w:w="1242" w:type="dxa"/>
            <w:vMerge w:val="restart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Учеб</w:t>
            </w:r>
            <w:proofErr w:type="gramStart"/>
            <w:r w:rsidRPr="00431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431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431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</w:t>
            </w:r>
            <w:proofErr w:type="gramEnd"/>
            <w:r w:rsidRPr="00431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329" w:type="dxa"/>
            <w:gridSpan w:val="8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участия в конкурсе</w:t>
            </w:r>
          </w:p>
        </w:tc>
      </w:tr>
      <w:tr w:rsidR="00A95045" w:rsidRPr="004319D1" w:rsidTr="00A238BE">
        <w:tc>
          <w:tcPr>
            <w:tcW w:w="1242" w:type="dxa"/>
            <w:vMerge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268" w:type="dxa"/>
            <w:gridSpan w:val="2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Муниципальный</w:t>
            </w:r>
          </w:p>
        </w:tc>
        <w:tc>
          <w:tcPr>
            <w:tcW w:w="2127" w:type="dxa"/>
            <w:gridSpan w:val="2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Региональный</w:t>
            </w:r>
          </w:p>
        </w:tc>
        <w:tc>
          <w:tcPr>
            <w:tcW w:w="1984" w:type="dxa"/>
            <w:gridSpan w:val="2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Всероссийский</w:t>
            </w:r>
          </w:p>
        </w:tc>
        <w:tc>
          <w:tcPr>
            <w:tcW w:w="1950" w:type="dxa"/>
            <w:gridSpan w:val="2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Международный</w:t>
            </w:r>
          </w:p>
        </w:tc>
      </w:tr>
      <w:tr w:rsidR="00A95045" w:rsidRPr="004319D1" w:rsidTr="00A238BE">
        <w:tc>
          <w:tcPr>
            <w:tcW w:w="124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276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8E4C91">
              <w:rPr>
                <w:rFonts w:ascii="Times New Roman" w:hAnsi="Times New Roman" w:cs="Times New Roman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992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победи-</w:t>
            </w:r>
            <w:proofErr w:type="spell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телей</w:t>
            </w:r>
            <w:proofErr w:type="spellEnd"/>
            <w:proofErr w:type="gramEnd"/>
          </w:p>
        </w:tc>
        <w:tc>
          <w:tcPr>
            <w:tcW w:w="1134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8E4C91">
              <w:rPr>
                <w:rFonts w:ascii="Times New Roman" w:hAnsi="Times New Roman" w:cs="Times New Roman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993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победи-</w:t>
            </w:r>
            <w:proofErr w:type="spell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8E4C91">
              <w:rPr>
                <w:rFonts w:ascii="Times New Roman" w:hAnsi="Times New Roman" w:cs="Times New Roman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992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победи-</w:t>
            </w:r>
            <w:proofErr w:type="spell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телей</w:t>
            </w:r>
            <w:proofErr w:type="spellEnd"/>
            <w:proofErr w:type="gramEnd"/>
          </w:p>
        </w:tc>
        <w:tc>
          <w:tcPr>
            <w:tcW w:w="992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proofErr w:type="gramStart"/>
            <w:r w:rsidRPr="008E4C91">
              <w:rPr>
                <w:rFonts w:ascii="Times New Roman" w:hAnsi="Times New Roman" w:cs="Times New Roman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958" w:type="dxa"/>
          </w:tcPr>
          <w:p w:rsidR="00A95045" w:rsidRPr="008E4C91" w:rsidRDefault="00A95045" w:rsidP="0098251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E4C91">
              <w:rPr>
                <w:rFonts w:ascii="Times New Roman" w:hAnsi="Times New Roman" w:cs="Times New Roman"/>
                <w:lang w:eastAsia="ru-RU"/>
              </w:rPr>
              <w:t>Кол-во</w:t>
            </w:r>
          </w:p>
          <w:p w:rsidR="00A95045" w:rsidRPr="008E4C91" w:rsidRDefault="00A95045" w:rsidP="0098251F">
            <w:pPr>
              <w:pStyle w:val="a3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победи-</w:t>
            </w:r>
            <w:proofErr w:type="spellStart"/>
            <w:r w:rsidRPr="008E4C91">
              <w:rPr>
                <w:rFonts w:ascii="Times New Roman" w:eastAsia="Calibri" w:hAnsi="Times New Roman" w:cs="Times New Roman"/>
                <w:lang w:eastAsia="ar-SA"/>
              </w:rPr>
              <w:t>телей</w:t>
            </w:r>
            <w:proofErr w:type="spellEnd"/>
            <w:proofErr w:type="gramEnd"/>
          </w:p>
        </w:tc>
      </w:tr>
      <w:tr w:rsidR="00A95045" w:rsidRPr="004319D1" w:rsidTr="00A238BE">
        <w:tc>
          <w:tcPr>
            <w:tcW w:w="124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2010-2011</w:t>
            </w:r>
          </w:p>
        </w:tc>
        <w:tc>
          <w:tcPr>
            <w:tcW w:w="1276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1134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55</w:t>
            </w:r>
          </w:p>
        </w:tc>
        <w:tc>
          <w:tcPr>
            <w:tcW w:w="993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48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58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95045" w:rsidRPr="004319D1" w:rsidTr="00A238BE">
        <w:tc>
          <w:tcPr>
            <w:tcW w:w="124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2011-2012</w:t>
            </w:r>
          </w:p>
        </w:tc>
        <w:tc>
          <w:tcPr>
            <w:tcW w:w="1276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56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1134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31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958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95045" w:rsidRPr="004319D1" w:rsidTr="00A238BE">
        <w:tc>
          <w:tcPr>
            <w:tcW w:w="124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2012-2013</w:t>
            </w:r>
          </w:p>
        </w:tc>
        <w:tc>
          <w:tcPr>
            <w:tcW w:w="1276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46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1134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11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58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95045" w:rsidRPr="004319D1" w:rsidTr="00A238BE">
        <w:tc>
          <w:tcPr>
            <w:tcW w:w="124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2013-2014</w:t>
            </w:r>
          </w:p>
        </w:tc>
        <w:tc>
          <w:tcPr>
            <w:tcW w:w="1276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45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10</w:t>
            </w:r>
          </w:p>
        </w:tc>
        <w:tc>
          <w:tcPr>
            <w:tcW w:w="1134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27</w:t>
            </w:r>
          </w:p>
        </w:tc>
        <w:tc>
          <w:tcPr>
            <w:tcW w:w="993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7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65</w:t>
            </w:r>
          </w:p>
        </w:tc>
        <w:tc>
          <w:tcPr>
            <w:tcW w:w="992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58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A95045" w:rsidRPr="004319D1" w:rsidTr="00A238BE">
        <w:tc>
          <w:tcPr>
            <w:tcW w:w="124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4319D1">
              <w:rPr>
                <w:rFonts w:ascii="Times New Roman" w:eastAsia="Calibri" w:hAnsi="Times New Roman" w:cs="Times New Roman"/>
                <w:lang w:eastAsia="ar-SA"/>
              </w:rPr>
              <w:t>2014-2015</w:t>
            </w:r>
          </w:p>
        </w:tc>
        <w:tc>
          <w:tcPr>
            <w:tcW w:w="1276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992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8</w:t>
            </w:r>
          </w:p>
        </w:tc>
        <w:tc>
          <w:tcPr>
            <w:tcW w:w="1134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</w:tc>
        <w:tc>
          <w:tcPr>
            <w:tcW w:w="992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40</w:t>
            </w:r>
          </w:p>
        </w:tc>
        <w:tc>
          <w:tcPr>
            <w:tcW w:w="992" w:type="dxa"/>
          </w:tcPr>
          <w:p w:rsidR="00A95045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  <w:tc>
          <w:tcPr>
            <w:tcW w:w="992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28</w:t>
            </w:r>
          </w:p>
        </w:tc>
        <w:tc>
          <w:tcPr>
            <w:tcW w:w="958" w:type="dxa"/>
          </w:tcPr>
          <w:p w:rsidR="00A95045" w:rsidRPr="004319D1" w:rsidRDefault="00A95045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24</w:t>
            </w:r>
          </w:p>
        </w:tc>
      </w:tr>
      <w:tr w:rsidR="00A238BE" w:rsidRPr="004319D1" w:rsidTr="00A238BE">
        <w:tc>
          <w:tcPr>
            <w:tcW w:w="1242" w:type="dxa"/>
          </w:tcPr>
          <w:p w:rsidR="00A238BE" w:rsidRPr="004319D1" w:rsidRDefault="00871F43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2015-2016</w:t>
            </w:r>
          </w:p>
        </w:tc>
        <w:tc>
          <w:tcPr>
            <w:tcW w:w="1276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17</w:t>
            </w:r>
          </w:p>
        </w:tc>
        <w:tc>
          <w:tcPr>
            <w:tcW w:w="992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  <w:tc>
          <w:tcPr>
            <w:tcW w:w="1134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3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2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16</w:t>
            </w:r>
          </w:p>
        </w:tc>
        <w:tc>
          <w:tcPr>
            <w:tcW w:w="992" w:type="dxa"/>
          </w:tcPr>
          <w:p w:rsidR="00A238BE" w:rsidRPr="004319D1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14</w:t>
            </w:r>
          </w:p>
        </w:tc>
        <w:tc>
          <w:tcPr>
            <w:tcW w:w="992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19</w:t>
            </w:r>
          </w:p>
        </w:tc>
        <w:tc>
          <w:tcPr>
            <w:tcW w:w="958" w:type="dxa"/>
          </w:tcPr>
          <w:p w:rsidR="00A238BE" w:rsidRDefault="00A238BE" w:rsidP="0098251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9</w:t>
            </w:r>
          </w:p>
        </w:tc>
      </w:tr>
    </w:tbl>
    <w:p w:rsidR="001B1F3B" w:rsidRDefault="001B1F3B" w:rsidP="001B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5DF5" w:rsidRDefault="00D56018" w:rsidP="001B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045">
        <w:rPr>
          <w:rFonts w:ascii="Times New Roman" w:eastAsia="Calibri" w:hAnsi="Times New Roman" w:cs="Times New Roman"/>
          <w:sz w:val="24"/>
          <w:szCs w:val="24"/>
        </w:rPr>
        <w:lastRenderedPageBreak/>
        <w:t>Считаю, что такое понимание художественной одаренности, которое присуще всем детям и получает особое развитие у некоторых, имеет главное значение в повседневной практике педагогики искусства. Это позволит решить важнейшую задачу художественного образования – формирование художественной культуры учащихся как части их духовной культуры, а также является ничем не заменимым средством воспитания мыслящей, творчески активной личности. И тогда одни дети выделятся в тех, кто «рожден для искусства», а все остальные получат максимум, соприкоснуться с тем изначальным и главным в искусстве, в художественном творчестве, что поможет им в дальнейшей жизни ценить настоящее искусство, с</w:t>
      </w:r>
      <w:r w:rsidRPr="00EC75A2">
        <w:rPr>
          <w:rFonts w:ascii="Times New Roman" w:eastAsia="Calibri" w:hAnsi="Times New Roman" w:cs="Times New Roman"/>
          <w:sz w:val="24"/>
          <w:szCs w:val="24"/>
        </w:rPr>
        <w:t>амостоятельно разбират</w:t>
      </w:r>
      <w:r w:rsidR="007E5DF5">
        <w:rPr>
          <w:rFonts w:ascii="Times New Roman" w:eastAsia="Calibri" w:hAnsi="Times New Roman" w:cs="Times New Roman"/>
          <w:sz w:val="24"/>
          <w:szCs w:val="24"/>
        </w:rPr>
        <w:t>ься в нем, искать общения с ним.</w:t>
      </w:r>
    </w:p>
    <w:p w:rsidR="001B1F3B" w:rsidRPr="007E5DF5" w:rsidRDefault="001B1F3B" w:rsidP="001B1F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B1F3B" w:rsidRPr="007E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A2"/>
    <w:rsid w:val="001439CF"/>
    <w:rsid w:val="001B1F3B"/>
    <w:rsid w:val="00347CF1"/>
    <w:rsid w:val="003D2F42"/>
    <w:rsid w:val="004E3531"/>
    <w:rsid w:val="005B22B2"/>
    <w:rsid w:val="006F50C8"/>
    <w:rsid w:val="007E5DF5"/>
    <w:rsid w:val="007F15EC"/>
    <w:rsid w:val="00871F43"/>
    <w:rsid w:val="009854B2"/>
    <w:rsid w:val="009F43EC"/>
    <w:rsid w:val="00A238BE"/>
    <w:rsid w:val="00A95045"/>
    <w:rsid w:val="00BA7D6C"/>
    <w:rsid w:val="00BB0C88"/>
    <w:rsid w:val="00BB75FC"/>
    <w:rsid w:val="00BD2A3C"/>
    <w:rsid w:val="00C4212C"/>
    <w:rsid w:val="00C93661"/>
    <w:rsid w:val="00CA3D4F"/>
    <w:rsid w:val="00D05830"/>
    <w:rsid w:val="00D56018"/>
    <w:rsid w:val="00D72B9F"/>
    <w:rsid w:val="00EB09AA"/>
    <w:rsid w:val="00EC75A2"/>
    <w:rsid w:val="00F60B42"/>
    <w:rsid w:val="00F8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A2"/>
    <w:pPr>
      <w:spacing w:after="0" w:line="240" w:lineRule="auto"/>
    </w:pPr>
  </w:style>
  <w:style w:type="character" w:styleId="a4">
    <w:name w:val="Strong"/>
    <w:basedOn w:val="a0"/>
    <w:uiPriority w:val="22"/>
    <w:qFormat/>
    <w:rsid w:val="00EC7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5A2"/>
    <w:pPr>
      <w:spacing w:after="0" w:line="240" w:lineRule="auto"/>
    </w:pPr>
  </w:style>
  <w:style w:type="character" w:styleId="a4">
    <w:name w:val="Strong"/>
    <w:basedOn w:val="a0"/>
    <w:uiPriority w:val="22"/>
    <w:qFormat/>
    <w:rsid w:val="00EC75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B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F6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A95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4914-4194-48AB-8DA7-A8192201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2015-11-09T15:13:00Z</dcterms:created>
  <dcterms:modified xsi:type="dcterms:W3CDTF">2016-01-19T20:10:00Z</dcterms:modified>
</cp:coreProperties>
</file>